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8.png" ContentType="image/png"/>
  <Override PartName="/word/media/rId92.png" ContentType="image/png"/>
  <Override PartName="/word/media/rId96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№10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конфигурированию SMTP-сервера в части настройки аутентификации.</w:t>
      </w:r>
    </w:p>
    <w:bookmarkEnd w:id="20"/>
    <w:bookmarkStart w:id="10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1" w:name="настройка-lmtp-в-dovecot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LMTP в Dovecote</w:t>
      </w:r>
    </w:p>
    <w:p>
      <w:pPr>
        <w:pStyle w:val="FirstParagraph"/>
      </w:pPr>
      <w:r>
        <w:t xml:space="preserve">Включим виртуальную машину сервер и откроем терминал и перейдем в режим суперпользователя.</w:t>
      </w:r>
    </w:p>
    <w:p>
      <w:pPr>
        <w:pStyle w:val="BodyText"/>
      </w:pPr>
      <w:r>
        <w:t xml:space="preserve">В дополнительном терминале запустим мониторинг работы почтовой службы с помощью команды</w:t>
      </w:r>
      <w:r>
        <w:t xml:space="preserve"> </w:t>
      </w:r>
      <w:r>
        <w:rPr>
          <w:rStyle w:val="VerbatimChar"/>
        </w:rPr>
        <w:t xml:space="preserve">tail -f /var/log/maillog</w:t>
      </w:r>
      <w:r>
        <w:t xml:space="preserve">. Затем добавим в список протоколов, с которыми модет работать Dovecot, протокол LMTP. Для этого в файле /etc/dovecot/dovecot.conf укажем(рис. fig. 1):</w:t>
      </w:r>
    </w:p>
    <w:bookmarkStart w:id="24" w:name="fig:001"/>
    <w:p>
      <w:pPr>
        <w:pStyle w:val="CaptionedFigure"/>
      </w:pPr>
      <w:r>
        <w:drawing>
          <wp:inline>
            <wp:extent cx="3733800" cy="1727003"/>
            <wp:effectExtent b="0" l="0" r="0" t="0"/>
            <wp:docPr descr="Рис. 1: Изменение списка протоколов для работы с Dovecot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70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Изменение списка протоколов для работы с Dovecot</w:t>
      </w:r>
    </w:p>
    <w:bookmarkEnd w:id="24"/>
    <w:p>
      <w:pPr>
        <w:pStyle w:val="BodyText"/>
      </w:pPr>
      <w:r>
        <w:t xml:space="preserve">Настроим в Dovecot сервис lmtp для связи с Postfix. Для этого в файле /etc/dovecot/conf.d/10-master.conf заменим определение сервиса lmtp на следующую запись(рис. fig. 2):</w:t>
      </w:r>
    </w:p>
    <w:bookmarkStart w:id="28" w:name="fig:002"/>
    <w:p>
      <w:pPr>
        <w:pStyle w:val="CaptionedFigure"/>
      </w:pPr>
      <w:r>
        <w:drawing>
          <wp:inline>
            <wp:extent cx="3733800" cy="3779223"/>
            <wp:effectExtent b="0" l="0" r="0" t="0"/>
            <wp:docPr descr="Рис. 2: Настройка сервиса lmtp для связи с Postfix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79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сервиса lmtp для связи с Postfix</w:t>
      </w:r>
    </w:p>
    <w:bookmarkEnd w:id="28"/>
    <w:p>
      <w:pPr>
        <w:pStyle w:val="BodyText"/>
      </w:pPr>
      <w:r>
        <w:t xml:space="preserve">Переопределим в Postfix с помощью postconf передачу сообщений не на прямую, а через заданный unix-сокет с помощью команды: postconf -e</w:t>
      </w:r>
      <w:r>
        <w:t xml:space="preserve"> </w:t>
      </w:r>
      <w:r>
        <w:t xml:space="preserve">‘mailbox_transport = lmtp:unix:private/dovecot-lmtp’</w:t>
      </w:r>
      <w:r>
        <w:t xml:space="preserve">.</w:t>
      </w:r>
    </w:p>
    <w:p>
      <w:pPr>
        <w:pStyle w:val="BodyText"/>
      </w:pPr>
      <w:r>
        <w:t xml:space="preserve">В файле /etc/dovecot/conf.d/10-auth.conf зададим формат имени пользователя для аутентификации в форме логина пользователя без указания домена:(fig. 3):</w:t>
      </w:r>
    </w:p>
    <w:bookmarkStart w:id="32" w:name="fig:003"/>
    <w:p>
      <w:pPr>
        <w:pStyle w:val="CaptionedFigure"/>
      </w:pPr>
      <w:r>
        <w:drawing>
          <wp:inline>
            <wp:extent cx="3733800" cy="3196009"/>
            <wp:effectExtent b="0" l="0" r="0" t="0"/>
            <wp:docPr descr="Рис. 3: Задание формата имени пользователя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1960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формата имени пользователя</w:t>
      </w:r>
    </w:p>
    <w:bookmarkEnd w:id="32"/>
    <w:p>
      <w:pPr>
        <w:pStyle w:val="BodyText"/>
      </w:pPr>
      <w:r>
        <w:t xml:space="preserve">Затем перезапустим Postfix и Dovecot и из-под учетной записи своего пользователя отправим письмо с клиента.</w:t>
      </w:r>
    </w:p>
    <w:p>
      <w:pPr>
        <w:pStyle w:val="BodyText"/>
      </w:pPr>
      <w:r>
        <w:t xml:space="preserve">Посмотрим информацию, которая вывелась при мониторинге почтовой службы(рис. fig. 4):</w:t>
      </w:r>
    </w:p>
    <w:bookmarkStart w:id="36" w:name="fig:004"/>
    <w:p>
      <w:pPr>
        <w:pStyle w:val="CaptionedFigure"/>
      </w:pPr>
      <w:r>
        <w:drawing>
          <wp:inline>
            <wp:extent cx="3733800" cy="1720953"/>
            <wp:effectExtent b="0" l="0" r="0" t="0"/>
            <wp:docPr descr="Рис. 4: Просмотр мониторинга почтовой службы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20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мониторинга почтовой службы</w:t>
      </w:r>
    </w:p>
    <w:bookmarkEnd w:id="36"/>
    <w:p>
      <w:pPr>
        <w:pStyle w:val="BodyText"/>
      </w:pPr>
      <w:r>
        <w:t xml:space="preserve">На сервере посмотрим почтовый ящик пользователя(fig. 5):</w:t>
      </w:r>
    </w:p>
    <w:bookmarkStart w:id="40" w:name="fig:005"/>
    <w:p>
      <w:pPr>
        <w:pStyle w:val="CaptionedFigure"/>
      </w:pPr>
      <w:r>
        <w:drawing>
          <wp:inline>
            <wp:extent cx="3733800" cy="1278571"/>
            <wp:effectExtent b="0" l="0" r="0" t="0"/>
            <wp:docPr descr="Рис. 5: Просмотр почтового ящика пользователя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85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почтового ящика пользователя</w:t>
      </w:r>
    </w:p>
    <w:bookmarkEnd w:id="40"/>
    <w:bookmarkEnd w:id="41"/>
    <w:bookmarkStart w:id="58" w:name="настройка-smtp-аутентификации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SMTP-аутентификации</w:t>
      </w:r>
    </w:p>
    <w:p>
      <w:pPr>
        <w:pStyle w:val="FirstParagraph"/>
      </w:pPr>
      <w:r>
        <w:t xml:space="preserve">В файле /etc/dovecot/conf.d/10-master.conf определим службу аутентификации пользователей(рис. fig. 6):</w:t>
      </w:r>
    </w:p>
    <w:bookmarkStart w:id="45" w:name="fig:006"/>
    <w:p>
      <w:pPr>
        <w:pStyle w:val="CaptionedFigure"/>
      </w:pPr>
      <w:r>
        <w:drawing>
          <wp:inline>
            <wp:extent cx="3733800" cy="4030280"/>
            <wp:effectExtent b="0" l="0" r="0" t="0"/>
            <wp:docPr descr="Рис. 6: Определение службы аутентификации пользователей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30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Определение службы аутентификации пользователей</w:t>
      </w:r>
    </w:p>
    <w:bookmarkEnd w:id="45"/>
    <w:p>
      <w:pPr>
        <w:pStyle w:val="BodyText"/>
      </w:pPr>
      <w:r>
        <w:t xml:space="preserve">В Postfix зададим каталог для доставки почты, затем сконфигурируем межсетевой экран, разрешив работать службам протоколов POP3 и IMAP, восстановим контекст безопасности SELinux, а затем перезапустим Postfix и запустим Dovecot</w:t>
      </w:r>
    </w:p>
    <w:p>
      <w:pPr>
        <w:pStyle w:val="BodyText"/>
      </w:pPr>
      <w:r>
        <w:t xml:space="preserve">Мы указываем, что для аутентификации сервиса определена группа и пользователь postfix, задав права 0660 – владелец и группа могут читать и редактировать,остальные не имеют права выполнять никаких действий, и определен пользователь dovecot с правом 0600 – только владелец файла может читать/записывать.</w:t>
      </w:r>
    </w:p>
    <w:p>
      <w:pPr>
        <w:pStyle w:val="BodyText"/>
      </w:pPr>
      <w:r>
        <w:t xml:space="preserve">Для Postfix зададим тип аутентификации SASL для smtpd и путь к соответствующему</w:t>
      </w:r>
      <w:r>
        <w:t xml:space="preserve"> </w:t>
      </w:r>
      <w:r>
        <w:t xml:space="preserve">unix-сокету, затем настроим Postfix для приёма почты из Интернета только для обслуживаемых нашим сервером пользователей или для произвольных пользователей локальной машины(имеется в виду локальных пользователей сервера), обеспечивая тем самым запрет на использование почтового сервера в качестве SMTP relay для спам-рассылок, а также в настройках Postfix ограничим приём почты только локальным адресом SMTP-сервера сети(fig. 7):</w:t>
      </w:r>
    </w:p>
    <w:bookmarkStart w:id="49" w:name="fig:007"/>
    <w:p>
      <w:pPr>
        <w:pStyle w:val="CaptionedFigure"/>
      </w:pPr>
      <w:r>
        <w:drawing>
          <wp:inline>
            <wp:extent cx="3733800" cy="1361089"/>
            <wp:effectExtent b="0" l="0" r="0" t="0"/>
            <wp:docPr descr="Рис. 7: Конфигурации Postfix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61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Конфигурации Postfix</w:t>
      </w:r>
    </w:p>
    <w:bookmarkEnd w:id="49"/>
    <w:p>
      <w:pPr>
        <w:pStyle w:val="Compact"/>
        <w:numPr>
          <w:ilvl w:val="0"/>
          <w:numId w:val="1001"/>
        </w:numPr>
      </w:pPr>
      <w:r>
        <w:t xml:space="preserve">reject_unknown_recipient_domain – отклонить запрос, если домен отправителя не имеет в DNS записей: MX и A</w:t>
      </w:r>
    </w:p>
    <w:p>
      <w:pPr>
        <w:pStyle w:val="Compact"/>
        <w:numPr>
          <w:ilvl w:val="0"/>
          <w:numId w:val="1001"/>
        </w:numPr>
      </w:pPr>
      <w:r>
        <w:t xml:space="preserve">permit_mynetworks – разрешает все адреса, перечисленные в настройках mynetworks</w:t>
      </w:r>
    </w:p>
    <w:p>
      <w:pPr>
        <w:pStyle w:val="Compact"/>
        <w:numPr>
          <w:ilvl w:val="0"/>
          <w:numId w:val="1001"/>
        </w:numPr>
      </w:pPr>
      <w:r>
        <w:t xml:space="preserve">reject_non_fqdn_recipient – отказать в соединении, если адрес получателя неверный</w:t>
      </w:r>
    </w:p>
    <w:p>
      <w:pPr>
        <w:pStyle w:val="Compact"/>
        <w:numPr>
          <w:ilvl w:val="0"/>
          <w:numId w:val="1001"/>
        </w:numPr>
      </w:pPr>
      <w:r>
        <w:t xml:space="preserve">reject_unauth_destination – запрещает подключение к службе без авторизации</w:t>
      </w:r>
    </w:p>
    <w:p>
      <w:pPr>
        <w:pStyle w:val="Compact"/>
        <w:numPr>
          <w:ilvl w:val="0"/>
          <w:numId w:val="1001"/>
        </w:numPr>
      </w:pPr>
      <w:r>
        <w:t xml:space="preserve">reject_unverified_recipient – отклонить запрос, если известно, что почта на адрес RCPT TO была отклонена или когда адрес получателя недоступен</w:t>
      </w:r>
    </w:p>
    <w:p>
      <w:pPr>
        <w:pStyle w:val="Compact"/>
        <w:numPr>
          <w:ilvl w:val="0"/>
          <w:numId w:val="1001"/>
        </w:numPr>
      </w:pPr>
      <w:r>
        <w:t xml:space="preserve">permit – Разрешить подключение. Присутствует в конце каждого блока (если письмо не попало не под одно правило запрета - доставляем)</w:t>
      </w:r>
    </w:p>
    <w:p>
      <w:pPr>
        <w:pStyle w:val="FirstParagraph"/>
      </w:pPr>
      <w:r>
        <w:t xml:space="preserve">Для проверки работы аутентификации временно запустим SMTP-сервер (порт 25) с возможностью аутентификации. Для этого изменим в файле /etc/postfix/master.cf(fig. 8):</w:t>
      </w:r>
    </w:p>
    <w:bookmarkStart w:id="53" w:name="fig:008"/>
    <w:p>
      <w:pPr>
        <w:pStyle w:val="CaptionedFigure"/>
      </w:pPr>
      <w:r>
        <w:drawing>
          <wp:inline>
            <wp:extent cx="3733800" cy="2139731"/>
            <wp:effectExtent b="0" l="0" r="0" t="0"/>
            <wp:docPr descr="Рис. 8: Временный запуск SMTP-сервера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9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Временный запуск SMTP-сервера</w:t>
      </w:r>
    </w:p>
    <w:bookmarkEnd w:id="53"/>
    <w:p>
      <w:pPr>
        <w:pStyle w:val="BodyText"/>
      </w:pPr>
      <w:r>
        <w:t xml:space="preserve">Перезапустим Postfix и Dovecot</w:t>
      </w:r>
    </w:p>
    <w:p>
      <w:pPr>
        <w:pStyle w:val="BodyText"/>
      </w:pPr>
      <w:r>
        <w:t xml:space="preserve">Теперь на клиенте установим telnet с помощью команд: sudo -i и dnf -y install telnet.</w:t>
      </w:r>
    </w:p>
    <w:p>
      <w:pPr>
        <w:pStyle w:val="BodyText"/>
      </w:pPr>
      <w:r>
        <w:t xml:space="preserve">На клиенте получим строку для аутентификации и подключимся на клиенте к SMTP-серверу посредством telnet. Протестируем соединение и проверим авторизацию(fig. 9):</w:t>
      </w:r>
    </w:p>
    <w:bookmarkStart w:id="57" w:name="fig:009"/>
    <w:p>
      <w:pPr>
        <w:pStyle w:val="CaptionedFigure"/>
      </w:pPr>
      <w:r>
        <w:drawing>
          <wp:inline>
            <wp:extent cx="3733800" cy="3867653"/>
            <wp:effectExtent b="0" l="0" r="0" t="0"/>
            <wp:docPr descr="Рис. 9: Получение строки для аутентификация и проверка посредством telnet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6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Получение строки для аутентификация и проверка посредством telnet</w:t>
      </w:r>
    </w:p>
    <w:bookmarkEnd w:id="57"/>
    <w:bookmarkEnd w:id="58"/>
    <w:bookmarkStart w:id="87" w:name="настройка-smtp-over-tls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Настройка SMTP over TLS</w:t>
      </w:r>
    </w:p>
    <w:p>
      <w:pPr>
        <w:pStyle w:val="FirstParagraph"/>
      </w:pPr>
      <w:r>
        <w:t xml:space="preserve">Настроим на сервере TLS, воспользовавшись временным сертификатом Dovecot. Предварительно скопируем необходимые файлы сертификата и ключа из каталога /etc/pki/dovecot в каталог /etc/pki/tls/ в соответствующие подкаталоги, затем сконфигурируем Postfix, указав пути к сертификату и ключу, а также к каталогу для хранения TLS-сессий и уровень безопасности(рис. fig. 10):</w:t>
      </w:r>
    </w:p>
    <w:bookmarkStart w:id="62" w:name="fig:010"/>
    <w:p>
      <w:pPr>
        <w:pStyle w:val="CaptionedFigure"/>
      </w:pPr>
      <w:r>
        <w:drawing>
          <wp:inline>
            <wp:extent cx="3733800" cy="1757082"/>
            <wp:effectExtent b="0" l="0" r="0" t="0"/>
            <wp:docPr descr="Рис. 10: Конфигарции Postfix для настройки TLS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7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Конфигарции Postfix для настройки TLS</w:t>
      </w:r>
    </w:p>
    <w:bookmarkEnd w:id="62"/>
    <w:p>
      <w:pPr>
        <w:pStyle w:val="BodyText"/>
      </w:pPr>
      <w:r>
        <w:t xml:space="preserve">Для того чтобы запустить SMTP-сервер на 587-м порту, заменим содержимое файла /etc/postfix/master.cf(рис. fig. 11):</w:t>
      </w:r>
    </w:p>
    <w:bookmarkStart w:id="66" w:name="fig:011"/>
    <w:p>
      <w:pPr>
        <w:pStyle w:val="CaptionedFigure"/>
      </w:pPr>
      <w:r>
        <w:drawing>
          <wp:inline>
            <wp:extent cx="3733800" cy="2422089"/>
            <wp:effectExtent b="0" l="0" r="0" t="0"/>
            <wp:docPr descr="Рис. 11: Изменение конфигураций для запуска SMTP-сервера на 587-порту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20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Изменение конфигураций для запуска SMTP-сервера на 587-порту</w:t>
      </w:r>
    </w:p>
    <w:bookmarkEnd w:id="66"/>
    <w:p>
      <w:pPr>
        <w:pStyle w:val="BodyText"/>
      </w:pPr>
      <w:r>
        <w:t xml:space="preserve">Настроим межсетевой экран, разрешив работать службе smtp-submission и перезапустим Postfix(fig. 12)</w:t>
      </w:r>
    </w:p>
    <w:bookmarkStart w:id="70" w:name="fig:012"/>
    <w:p>
      <w:pPr>
        <w:pStyle w:val="CaptionedFigure"/>
      </w:pPr>
      <w:r>
        <w:drawing>
          <wp:inline>
            <wp:extent cx="3733800" cy="4087656"/>
            <wp:effectExtent b="0" l="0" r="0" t="0"/>
            <wp:docPr descr="Рис. 12: Настройка межсетевого экрана для работы службы smtp-submission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876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Настройка межсетевого экрана для работы службы smtp-submission</w:t>
      </w:r>
    </w:p>
    <w:bookmarkEnd w:id="70"/>
    <w:p>
      <w:pPr>
        <w:pStyle w:val="BodyText"/>
      </w:pPr>
      <w:r>
        <w:t xml:space="preserve">На клиенте подключитесь к SMTP-серверу через 587-й порт посредством openssl(рис. fig. 13):</w:t>
      </w:r>
    </w:p>
    <w:bookmarkStart w:id="74" w:name="fig:013"/>
    <w:p>
      <w:pPr>
        <w:pStyle w:val="CaptionedFigure"/>
      </w:pPr>
      <w:r>
        <w:drawing>
          <wp:inline>
            <wp:extent cx="3733800" cy="2979155"/>
            <wp:effectExtent b="0" l="0" r="0" t="0"/>
            <wp:docPr descr="Рис. 13: Подключение через openssl к SMTP-серверу" title="" id="72" name="Picture"/>
            <a:graphic>
              <a:graphicData uri="http://schemas.openxmlformats.org/drawingml/2006/picture">
                <pic:pic>
                  <pic:nvPicPr>
                    <pic:cNvPr descr="image/13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9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Подключение через openssl к SMTP-серверу</w:t>
      </w:r>
    </w:p>
    <w:bookmarkEnd w:id="74"/>
    <w:p>
      <w:pPr>
        <w:pStyle w:val="BodyText"/>
      </w:pPr>
      <w:r>
        <w:t xml:space="preserve">И протестируем подключение и аутентификацию по telnet(рис. fig. 14):</w:t>
      </w:r>
    </w:p>
    <w:bookmarkStart w:id="78" w:name="fig:014"/>
    <w:p>
      <w:pPr>
        <w:pStyle w:val="CaptionedFigure"/>
      </w:pPr>
      <w:r>
        <w:drawing>
          <wp:inline>
            <wp:extent cx="3733800" cy="2979155"/>
            <wp:effectExtent b="0" l="0" r="0" t="0"/>
            <wp:docPr descr="Рис. 14: Проверка подключеня и аутентфикации по telnet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791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подключеня и аутентфикации по telnet</w:t>
      </w:r>
    </w:p>
    <w:bookmarkEnd w:id="78"/>
    <w:p>
      <w:pPr>
        <w:pStyle w:val="BodyText"/>
      </w:pPr>
      <w:r>
        <w:t xml:space="preserve">Проверим корректность отправки почтовых сообщений с клиента посредством почтового клиента Evolution, предварительно скорректировав настройки учётной записи, а именно для SMTP-сервера укажем порт 587, STARTTLS и обычный пароль(fig. 15, fig. 16):</w:t>
      </w:r>
    </w:p>
    <w:bookmarkStart w:id="82" w:name="fig:015"/>
    <w:p>
      <w:pPr>
        <w:pStyle w:val="CaptionedFigure"/>
      </w:pPr>
      <w:r>
        <w:drawing>
          <wp:inline>
            <wp:extent cx="3733800" cy="4171354"/>
            <wp:effectExtent b="0" l="0" r="0" t="0"/>
            <wp:docPr descr="Рис. 15: Изменение настроек учетной записи Evolution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71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Изменение настроек учетной записи Evolution</w:t>
      </w:r>
    </w:p>
    <w:bookmarkEnd w:id="82"/>
    <w:bookmarkStart w:id="86" w:name="fig:016"/>
    <w:p>
      <w:pPr>
        <w:pStyle w:val="CaptionedFigure"/>
      </w:pPr>
      <w:r>
        <w:drawing>
          <wp:inline>
            <wp:extent cx="3733800" cy="3221150"/>
            <wp:effectExtent b="0" l="0" r="0" t="0"/>
            <wp:docPr descr="Рис. 16: Проверка корректности отправки почтовых сообщений с помощью Evolution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221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корректности отправки почтовых сообщений с помощью Evolution</w:t>
      </w:r>
    </w:p>
    <w:bookmarkEnd w:id="86"/>
    <w:bookmarkEnd w:id="87"/>
    <w:bookmarkStart w:id="100" w:name="Xd636270ea8e9bb71f498bde6a96fb3a56434bd8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/vagrant/provision/server/. В соответствующие подкаталоги поместим конфигурационные файлы Dovecot и Postfix(рис. fig. 17)</w:t>
      </w:r>
    </w:p>
    <w:bookmarkStart w:id="91" w:name="fig:017"/>
    <w:p>
      <w:pPr>
        <w:pStyle w:val="CaptionedFigure"/>
      </w:pPr>
      <w:r>
        <w:drawing>
          <wp:inline>
            <wp:extent cx="3733800" cy="1787327"/>
            <wp:effectExtent b="0" l="0" r="0" t="0"/>
            <wp:docPr descr="Рис. 17: Создание окружения для внесения изменений в настройки окружающей среды" title="" id="89" name="Picture"/>
            <a:graphic>
              <a:graphicData uri="http://schemas.openxmlformats.org/drawingml/2006/picture">
                <pic:pic>
                  <pic:nvPicPr>
                    <pic:cNvPr descr="image/17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873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окружения для внесения изменений в настройки окружающей среды</w:t>
      </w:r>
    </w:p>
    <w:bookmarkEnd w:id="91"/>
    <w:p>
      <w:pPr>
        <w:pStyle w:val="BodyText"/>
      </w:pPr>
      <w:r>
        <w:t xml:space="preserve">Внесем соответствующие изменения по расширенной конфигурации SMTP-сервера в файл /vagrant/provision/server/mail.sht(fig. 18):</w:t>
      </w:r>
    </w:p>
    <w:bookmarkStart w:id="95" w:name="fig:018"/>
    <w:p>
      <w:pPr>
        <w:pStyle w:val="CaptionedFigure"/>
      </w:pPr>
      <w:r>
        <w:drawing>
          <wp:inline>
            <wp:extent cx="3733800" cy="4425471"/>
            <wp:effectExtent b="0" l="0" r="0" t="0"/>
            <wp:docPr descr="Рис. 18: Изменение файла /vagrant/provision/server/mail.sh" title="" id="93" name="Picture"/>
            <a:graphic>
              <a:graphicData uri="http://schemas.openxmlformats.org/drawingml/2006/picture">
                <pic:pic>
                  <pic:nvPicPr>
                    <pic:cNvPr descr="image/18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25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файла /vagrant/provision/server/mail.sh</w:t>
      </w:r>
    </w:p>
    <w:bookmarkEnd w:id="95"/>
    <w:p>
      <w:pPr>
        <w:pStyle w:val="BodyText"/>
      </w:pPr>
      <w:r>
        <w:t xml:space="preserve">На виртуальной машине client внесем изменения в файл /vagrant/provision/client/mail.sh, добавив установку telnet.(fig. 19):</w:t>
      </w:r>
    </w:p>
    <w:bookmarkStart w:id="99" w:name="fig:019"/>
    <w:p>
      <w:pPr>
        <w:pStyle w:val="CaptionedFigure"/>
      </w:pPr>
      <w:r>
        <w:drawing>
          <wp:inline>
            <wp:extent cx="3733800" cy="3481678"/>
            <wp:effectExtent b="0" l="0" r="0" t="0"/>
            <wp:docPr descr="Рис. 19: Изменение файла /vagrant/provision/client/mail.sh" title="" id="97" name="Picture"/>
            <a:graphic>
              <a:graphicData uri="http://schemas.openxmlformats.org/drawingml/2006/picture">
                <pic:pic>
                  <pic:nvPicPr>
                    <pic:cNvPr descr="image/19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816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Изменение файла /vagrant/provision/client/mail.sh</w:t>
      </w:r>
    </w:p>
    <w:bookmarkEnd w:id="99"/>
    <w:bookmarkEnd w:id="100"/>
    <w:bookmarkEnd w:id="101"/>
    <w:bookmarkStart w:id="102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2"/>
        </w:numPr>
      </w:pPr>
      <w:r>
        <w:t xml:space="preserve">Приведите пример задания формата аутентификации пользователя в</w:t>
      </w:r>
      <w:r>
        <w:t xml:space="preserve"> </w:t>
      </w:r>
      <w:r>
        <w:t xml:space="preserve">Dovecot в форме логина с указанием домена.</w:t>
      </w:r>
    </w:p>
    <w:p>
      <w:pPr>
        <w:pStyle w:val="Compact"/>
        <w:numPr>
          <w:ilvl w:val="0"/>
          <w:numId w:val="1003"/>
        </w:numPr>
      </w:pPr>
      <w:r>
        <w:rPr>
          <w:rStyle w:val="VerbatimChar"/>
        </w:rPr>
        <w:t xml:space="preserve">auth_username_format = %Lu@%d</w:t>
      </w:r>
    </w:p>
    <w:p>
      <w:pPr>
        <w:pStyle w:val="Compact"/>
        <w:numPr>
          <w:ilvl w:val="0"/>
          <w:numId w:val="1004"/>
        </w:numPr>
      </w:pPr>
      <w:r>
        <w:t xml:space="preserve">Какие функции выполняет почтовый Relay-сервер?</w:t>
      </w:r>
    </w:p>
    <w:p>
      <w:pPr>
        <w:pStyle w:val="Compact"/>
        <w:numPr>
          <w:ilvl w:val="0"/>
          <w:numId w:val="1005"/>
        </w:numPr>
      </w:pPr>
      <w:r>
        <w:t xml:space="preserve">Почтовый Relay-сервер выполняет функции пересылки почты от одного</w:t>
      </w:r>
      <w:r>
        <w:t xml:space="preserve"> </w:t>
      </w:r>
      <w:r>
        <w:t xml:space="preserve">почтового сервера к другому, облегчая маршрутизацию электронных сообщений между различными почтовыми системами.</w:t>
      </w:r>
    </w:p>
    <w:p>
      <w:pPr>
        <w:pStyle w:val="Compact"/>
        <w:numPr>
          <w:ilvl w:val="0"/>
          <w:numId w:val="1006"/>
        </w:numPr>
      </w:pPr>
      <w:r>
        <w:t xml:space="preserve">Какие угрозы безопасности могут возникнуть в случае настройки почтового</w:t>
      </w:r>
      <w:r>
        <w:t xml:space="preserve"> </w:t>
      </w:r>
      <w:r>
        <w:t xml:space="preserve">сервера как Relay-сервера?</w:t>
      </w:r>
    </w:p>
    <w:p>
      <w:pPr>
        <w:pStyle w:val="FirstParagraph"/>
      </w:pPr>
      <w:r>
        <w:t xml:space="preserve">Угрозы безопасности, связанные с настройкой почтового сервера как Relay-сервера, могут включать рассылку нежелательной почты (спам), перехват и</w:t>
      </w:r>
      <w:r>
        <w:t xml:space="preserve"> </w:t>
      </w:r>
      <w:r>
        <w:t xml:space="preserve">изменение электронных сообщений, а также использование сервера для</w:t>
      </w:r>
      <w:r>
        <w:t xml:space="preserve"> </w:t>
      </w:r>
      <w:r>
        <w:t xml:space="preserve">ретрансляции вредоносных сообщений.</w:t>
      </w:r>
    </w:p>
    <w:bookmarkEnd w:id="102"/>
    <w:bookmarkStart w:id="103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по конфигурированию SMTP-сервера в части настройки аутентификации.</w:t>
      </w:r>
    </w:p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5">
    <w:abstractNumId w:val="991"/>
  </w:num>
  <w:num w:numId="100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6" Target="media/rId96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№10</dc:title>
  <dc:creator>Мишина Анастасия Алексеевна</dc:creator>
  <dc:language>ru-RU</dc:language>
  <cp:keywords/>
  <dcterms:created xsi:type="dcterms:W3CDTF">2024-11-06T10:13:06Z</dcterms:created>
  <dcterms:modified xsi:type="dcterms:W3CDTF">2024-11-06T10:13:06Z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